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>
            <wp:extent cx="752475" cy="752475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752475" cy="75247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1"/>
        <w:keepNext w:val="0"/>
        <w:widowControl w:val="0"/>
        <w:tabs>
          <w:tab w:leader="none" w:pos="864" w:val="left"/>
        </w:tabs>
        <w:ind w:left="0"/>
        <w:jc w:val="center"/>
        <w:rPr>
          <w:b w:val="0"/>
        </w:rPr>
      </w:pPr>
      <w:r>
        <w:rPr>
          <w:b w:val="0"/>
        </w:rPr>
        <w:t>ФЕДЕРАЛЬНОЕ ГОСУДАРСТВЕННОЕ БЮДЖЕТНОЕ ОБРАЗОВАТЕЛЬНОЕ УЧРЕЖДЕНИЕ ВЫСШЕГО ОБРАЗОВАНИЯ</w:t>
      </w:r>
    </w:p>
    <w:p w14:paraId="03000000">
      <w:pPr>
        <w:pStyle w:val="Style_2"/>
        <w:keepNext w:val="0"/>
        <w:widowControl w:val="1"/>
        <w:tabs>
          <w:tab w:leader="none" w:pos="576" w:val="left"/>
        </w:tabs>
        <w:spacing w:line="240" w:lineRule="auto"/>
        <w:ind w:firstLine="0"/>
        <w:jc w:val="center"/>
        <w:rPr>
          <w:b w:val="0"/>
          <w:spacing w:val="24"/>
          <w:sz w:val="32"/>
        </w:rPr>
      </w:pPr>
      <w:r>
        <w:rPr>
          <w:b w:val="0"/>
          <w:spacing w:val="24"/>
          <w:sz w:val="32"/>
        </w:rPr>
        <w:t>«Российский государственный университет правосудия</w:t>
      </w:r>
      <w:r>
        <w:rPr>
          <w:b w:val="0"/>
          <w:spacing w:val="24"/>
          <w:sz w:val="32"/>
        </w:rPr>
        <w:t xml:space="preserve"> </w:t>
      </w:r>
      <w:r>
        <w:rPr>
          <w:b w:val="0"/>
          <w:spacing w:val="24"/>
          <w:sz w:val="32"/>
        </w:rPr>
        <w:t>им. В.М. Лебедева</w:t>
      </w:r>
      <w:r>
        <w:rPr>
          <w:b w:val="0"/>
          <w:spacing w:val="24"/>
          <w:sz w:val="32"/>
        </w:rPr>
        <w:t>»</w:t>
      </w:r>
      <w:r>
        <w:rPr>
          <w:b w:val="0"/>
          <w:spacing w:val="40"/>
          <w:sz w:val="32"/>
        </w:rPr>
        <w:t xml:space="preserve"> </w:t>
      </w:r>
      <w:r>
        <w:rPr>
          <w:b w:val="0"/>
          <w:spacing w:val="40"/>
          <w:sz w:val="32"/>
        </w:rPr>
        <w:t xml:space="preserve">                                             </w:t>
      </w:r>
      <w:r>
        <w:rPr>
          <w:b w:val="0"/>
          <w:spacing w:val="40"/>
          <w:sz w:val="28"/>
        </w:rPr>
        <w:t>Казанский филиал</w:t>
      </w:r>
    </w:p>
    <w:p w14:paraId="04000000">
      <w:pPr>
        <w:widowControl w:val="0"/>
        <w:spacing w:after="0" w:line="36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05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caps w:val="1"/>
          <w:sz w:val="24"/>
        </w:rPr>
      </w:pPr>
      <w:r>
        <w:rPr>
          <w:rFonts w:ascii="Times New Roman" w:hAnsi="Times New Roman"/>
          <w:b w:val="1"/>
          <w:sz w:val="24"/>
        </w:rPr>
        <w:t>XI</w:t>
      </w:r>
      <w:r>
        <w:rPr>
          <w:rFonts w:ascii="Times New Roman" w:hAnsi="Times New Roman"/>
          <w:b w:val="1"/>
          <w:sz w:val="24"/>
        </w:rPr>
        <w:t>I</w:t>
      </w:r>
      <w:r>
        <w:rPr>
          <w:rFonts w:ascii="Times New Roman" w:hAnsi="Times New Roman"/>
          <w:b w:val="1"/>
          <w:caps w:val="1"/>
          <w:sz w:val="24"/>
        </w:rPr>
        <w:t xml:space="preserve"> Всероссийская научная конференция учащихся по праву </w:t>
      </w:r>
    </w:p>
    <w:p w14:paraId="06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caps w:val="1"/>
          <w:sz w:val="24"/>
        </w:rPr>
      </w:pPr>
      <w:r>
        <w:rPr>
          <w:rFonts w:ascii="Times New Roman" w:hAnsi="Times New Roman"/>
          <w:b w:val="1"/>
          <w:caps w:val="1"/>
          <w:sz w:val="24"/>
        </w:rPr>
        <w:t>«Право как основа современного общества»,</w:t>
      </w:r>
    </w:p>
    <w:p w14:paraId="07000000">
      <w:pPr>
        <w:widowControl w:val="0"/>
        <w:spacing w:after="0" w:line="240" w:lineRule="auto"/>
        <w:ind/>
        <w:jc w:val="center"/>
        <w:rPr>
          <w:rFonts w:ascii="Times New Roman" w:hAnsi="Times New Roman"/>
          <w:caps w:val="1"/>
          <w:sz w:val="24"/>
        </w:rPr>
      </w:pPr>
      <w:r>
        <w:rPr>
          <w:rFonts w:ascii="Times New Roman" w:hAnsi="Times New Roman"/>
          <w:caps w:val="1"/>
          <w:sz w:val="24"/>
        </w:rPr>
        <w:t>посвященная Г</w:t>
      </w:r>
      <w:r>
        <w:rPr>
          <w:rFonts w:ascii="Times New Roman" w:hAnsi="Times New Roman"/>
          <w:caps w:val="1"/>
          <w:sz w:val="24"/>
        </w:rPr>
        <w:t>оду зАЩИТНИКА отечества в российской федерациИ</w:t>
      </w:r>
      <w:r>
        <w:rPr>
          <w:rFonts w:ascii="Times New Roman" w:hAnsi="Times New Roman"/>
          <w:caps w:val="1"/>
          <w:sz w:val="24"/>
        </w:rPr>
        <w:t xml:space="preserve"> и 80-летию </w:t>
      </w:r>
      <w:r>
        <w:rPr>
          <w:rFonts w:ascii="Times New Roman" w:hAnsi="Times New Roman"/>
          <w:caps w:val="1"/>
          <w:sz w:val="24"/>
        </w:rPr>
        <w:t>Победы в Великой Отечественной войне</w:t>
      </w:r>
      <w:r>
        <w:rPr>
          <w:rFonts w:ascii="Times New Roman" w:hAnsi="Times New Roman"/>
          <w:caps w:val="1"/>
          <w:sz w:val="24"/>
        </w:rPr>
        <w:t xml:space="preserve"> </w:t>
      </w:r>
    </w:p>
    <w:p w14:paraId="08000000">
      <w:pPr>
        <w:widowControl w:val="0"/>
        <w:spacing w:line="240" w:lineRule="auto"/>
        <w:ind/>
        <w:jc w:val="center"/>
        <w:rPr>
          <w:rFonts w:ascii="Times New Roman" w:hAnsi="Times New Roman"/>
          <w:b w:val="1"/>
          <w:i w:val="1"/>
          <w:sz w:val="26"/>
        </w:rPr>
      </w:pPr>
      <w:r>
        <w:rPr>
          <w:rFonts w:ascii="Times New Roman" w:hAnsi="Times New Roman"/>
          <w:b w:val="1"/>
          <w:i w:val="1"/>
          <w:sz w:val="26"/>
        </w:rPr>
        <w:t xml:space="preserve">Казань, 6 декабря 2025 г. </w:t>
      </w:r>
    </w:p>
    <w:p w14:paraId="09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Приглашаем принять участие в XII Всероссийской научной конференции учащихся по праву «Право как основа современного общества», посвященной Году </w:t>
      </w:r>
      <w:r>
        <w:rPr>
          <w:rFonts w:ascii="Times New Roman" w:hAnsi="Times New Roman"/>
          <w:sz w:val="26"/>
          <w:highlight w:val="white"/>
        </w:rPr>
        <w:t xml:space="preserve">защитника Отечества </w:t>
      </w:r>
      <w:r>
        <w:rPr>
          <w:rFonts w:ascii="Times New Roman" w:hAnsi="Times New Roman"/>
          <w:sz w:val="26"/>
        </w:rPr>
        <w:t xml:space="preserve">в Российской Федерации и </w:t>
      </w:r>
      <w:r>
        <w:rPr>
          <w:rFonts w:ascii="Times New Roman" w:hAnsi="Times New Roman"/>
          <w:sz w:val="26"/>
        </w:rPr>
        <w:t xml:space="preserve">80-летию </w:t>
      </w:r>
      <w:r>
        <w:rPr>
          <w:rFonts w:ascii="Times New Roman" w:hAnsi="Times New Roman"/>
          <w:sz w:val="26"/>
        </w:rPr>
        <w:t>Победы в Великой О</w:t>
      </w:r>
      <w:r>
        <w:rPr>
          <w:rFonts w:ascii="Times New Roman" w:hAnsi="Times New Roman"/>
          <w:sz w:val="26"/>
        </w:rPr>
        <w:t xml:space="preserve">течественной 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z w:val="26"/>
        </w:rPr>
        <w:t>ойне</w:t>
      </w:r>
      <w:r>
        <w:rPr>
          <w:rFonts w:ascii="Times New Roman" w:hAnsi="Times New Roman"/>
          <w:sz w:val="26"/>
        </w:rPr>
        <w:t>, которая состоится 6 декабря 2025 г. в смешанном формате. Конференция организована Управлением Судебного департамента в Республике Татарстан, Управлением образования ИК МО г. Казани, Казанским филиалом ФГБОУВО «Российский государственный университет правосудия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им. В.М. Лебедева</w:t>
      </w:r>
      <w:r>
        <w:rPr>
          <w:rFonts w:ascii="Times New Roman" w:hAnsi="Times New Roman"/>
          <w:sz w:val="26"/>
        </w:rPr>
        <w:t xml:space="preserve">», Отделом образования Управления образования ИК МО г. Казани по Советскому району и МБОУ «Гимназия № 20 им. Абдуллы </w:t>
      </w:r>
      <w:r>
        <w:rPr>
          <w:rFonts w:ascii="Times New Roman" w:hAnsi="Times New Roman"/>
          <w:sz w:val="26"/>
        </w:rPr>
        <w:t>Алиша</w:t>
      </w:r>
      <w:r>
        <w:rPr>
          <w:rFonts w:ascii="Times New Roman" w:hAnsi="Times New Roman"/>
          <w:sz w:val="26"/>
        </w:rPr>
        <w:t xml:space="preserve">» Советского района г. Казани. </w:t>
      </w:r>
    </w:p>
    <w:p w14:paraId="0A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Целями Конференции являются: выявление «одаренных детей», поддержка творчества школьников, популяризация права, повышение правовой культуры учащихся, стимулирование интереса учащихся к изучению гуманитарных предметов, развитие научных и исследовательских навыков обучающихся. </w:t>
      </w:r>
    </w:p>
    <w:p w14:paraId="0B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 w:val="1"/>
          <w:sz w:val="26"/>
        </w:rPr>
      </w:pPr>
    </w:p>
    <w:p w14:paraId="0C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 w:val="1"/>
          <w:sz w:val="26"/>
          <w:u w:val="single"/>
        </w:rPr>
      </w:pPr>
      <w:r>
        <w:rPr>
          <w:rFonts w:ascii="Times New Roman" w:hAnsi="Times New Roman"/>
          <w:b w:val="1"/>
          <w:sz w:val="26"/>
        </w:rPr>
        <w:t xml:space="preserve">В Конференции могут принять участие учащиеся VIII-XI классов общеобразовательных организаций, студенты I курса организаций среднего профессионального образования Российской Федерации. </w:t>
      </w:r>
    </w:p>
    <w:p w14:paraId="0D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 w:val="1"/>
          <w:sz w:val="26"/>
        </w:rPr>
      </w:pPr>
    </w:p>
    <w:p w14:paraId="0E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Направления работы конференции: </w:t>
      </w:r>
    </w:p>
    <w:p w14:paraId="0F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 Место и роль права в жизни общества (права, свободы и обязанности человека в современном мире).</w:t>
      </w:r>
    </w:p>
    <w:p w14:paraId="1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 Вопросы права, нравственности, морали и правосудия в произведениях русской и зарубежной литературы.</w:t>
      </w:r>
    </w:p>
    <w:p w14:paraId="11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 Татар </w:t>
      </w:r>
      <w:r>
        <w:rPr>
          <w:rFonts w:ascii="Times New Roman" w:hAnsi="Times New Roman"/>
          <w:sz w:val="26"/>
        </w:rPr>
        <w:t>әдәбиятында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хокук</w:t>
      </w:r>
      <w:r>
        <w:rPr>
          <w:rFonts w:ascii="Times New Roman" w:hAnsi="Times New Roman"/>
          <w:sz w:val="26"/>
        </w:rPr>
        <w:t xml:space="preserve">, </w:t>
      </w:r>
      <w:r>
        <w:rPr>
          <w:rFonts w:ascii="Times New Roman" w:hAnsi="Times New Roman"/>
          <w:sz w:val="26"/>
        </w:rPr>
        <w:t>әхлак</w:t>
      </w:r>
      <w:r>
        <w:rPr>
          <w:rFonts w:ascii="Times New Roman" w:hAnsi="Times New Roman"/>
          <w:sz w:val="26"/>
        </w:rPr>
        <w:t xml:space="preserve">, мораль </w:t>
      </w:r>
      <w:r>
        <w:rPr>
          <w:rFonts w:ascii="Times New Roman" w:hAnsi="Times New Roman"/>
          <w:sz w:val="26"/>
        </w:rPr>
        <w:t>проблемалары</w:t>
      </w:r>
      <w:r>
        <w:rPr>
          <w:rFonts w:ascii="Times New Roman" w:hAnsi="Times New Roman"/>
          <w:sz w:val="26"/>
        </w:rPr>
        <w:t xml:space="preserve"> (проблемы прав человека, морали, нравственности в татарской литературе).</w:t>
      </w:r>
    </w:p>
    <w:p w14:paraId="12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 w:val="1"/>
          <w:sz w:val="26"/>
        </w:rPr>
      </w:pPr>
    </w:p>
    <w:p w14:paraId="13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Конференция проводится в два этапа: </w:t>
      </w:r>
    </w:p>
    <w:p w14:paraId="14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I этап – отборочный тур (заочный), в ходе которого осуществляется отбор и рецензирование представленных работ экспертной комиссией. </w:t>
      </w:r>
    </w:p>
    <w:p w14:paraId="15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II этап – заключительный тур (очный), проводится 6 декабря 2025 года в смешанном формате (с очным присутствием и онлайн). Выступить с докладом на очном туре Конференции могут участники, которые включены в программу </w:t>
      </w:r>
      <w:r>
        <w:rPr>
          <w:rFonts w:ascii="Times New Roman" w:hAnsi="Times New Roman"/>
          <w:sz w:val="26"/>
        </w:rPr>
        <w:t xml:space="preserve">Конференции экспертной комиссией по результатам I этапа. </w:t>
      </w:r>
    </w:p>
    <w:p w14:paraId="16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 w:val="1"/>
          <w:sz w:val="26"/>
        </w:rPr>
      </w:pPr>
    </w:p>
    <w:p w14:paraId="17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Для участия в Конференции необходимо </w:t>
      </w:r>
      <w:r>
        <w:rPr>
          <w:rFonts w:ascii="Times New Roman" w:hAnsi="Times New Roman"/>
          <w:b w:val="1"/>
          <w:sz w:val="26"/>
          <w:u w:val="single"/>
        </w:rPr>
        <w:t>до 25 ноября  2025 года</w:t>
      </w:r>
      <w:r>
        <w:rPr>
          <w:rFonts w:ascii="Times New Roman" w:hAnsi="Times New Roman"/>
          <w:b w:val="1"/>
          <w:sz w:val="26"/>
        </w:rPr>
        <w:t xml:space="preserve"> выслать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 xml:space="preserve">на эл. почту: </w:t>
      </w:r>
      <w:r>
        <w:rPr>
          <w:rStyle w:val="Style_3_ch"/>
          <w:rFonts w:ascii="Times New Roman" w:hAnsi="Times New Roman"/>
          <w:b w:val="1"/>
          <w:sz w:val="26"/>
        </w:rPr>
        <w:fldChar w:fldCharType="begin"/>
      </w:r>
      <w:r>
        <w:rPr>
          <w:rStyle w:val="Style_3_ch"/>
          <w:rFonts w:ascii="Times New Roman" w:hAnsi="Times New Roman"/>
          <w:b w:val="1"/>
          <w:sz w:val="26"/>
        </w:rPr>
        <w:instrText>HYPERLINK "mailto:gim2072@mail.ru"</w:instrText>
      </w:r>
      <w:r>
        <w:rPr>
          <w:rStyle w:val="Style_3_ch"/>
          <w:rFonts w:ascii="Times New Roman" w:hAnsi="Times New Roman"/>
          <w:b w:val="1"/>
          <w:sz w:val="26"/>
        </w:rPr>
        <w:fldChar w:fldCharType="separate"/>
      </w:r>
      <w:r>
        <w:rPr>
          <w:rStyle w:val="Style_3_ch"/>
          <w:rFonts w:ascii="Times New Roman" w:hAnsi="Times New Roman"/>
          <w:b w:val="1"/>
          <w:sz w:val="26"/>
        </w:rPr>
        <w:t>gim2072@mail.ru</w:t>
      </w:r>
      <w:r>
        <w:rPr>
          <w:rStyle w:val="Style_3_ch"/>
          <w:rFonts w:ascii="Times New Roman" w:hAnsi="Times New Roman"/>
          <w:b w:val="1"/>
          <w:sz w:val="26"/>
        </w:rPr>
        <w:fldChar w:fldCharType="end"/>
      </w:r>
      <w:r>
        <w:rPr>
          <w:rFonts w:ascii="Times New Roman" w:hAnsi="Times New Roman"/>
          <w:b w:val="1"/>
          <w:sz w:val="26"/>
        </w:rPr>
        <w:t xml:space="preserve">: </w:t>
      </w:r>
    </w:p>
    <w:p w14:paraId="18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 w:val="1"/>
          <w:sz w:val="26"/>
        </w:rPr>
      </w:pPr>
    </w:p>
    <w:p w14:paraId="19000000">
      <w:pPr>
        <w:pStyle w:val="Style_4"/>
        <w:widowControl w:val="0"/>
        <w:numPr>
          <w:ilvl w:val="0"/>
          <w:numId w:val="1"/>
        </w:numPr>
        <w:spacing w:after="0" w:line="240" w:lineRule="auto"/>
        <w:ind w:firstLine="709" w:left="0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заявку на участие в заочном (отборочном) этапе; </w:t>
      </w:r>
    </w:p>
    <w:p w14:paraId="1A000000">
      <w:pPr>
        <w:pStyle w:val="Style_4"/>
        <w:widowControl w:val="0"/>
        <w:numPr>
          <w:ilvl w:val="0"/>
          <w:numId w:val="1"/>
        </w:numPr>
        <w:spacing w:after="0" w:line="240" w:lineRule="auto"/>
        <w:ind w:firstLine="709" w:left="0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тезисы проекта (работы) объемом не более 1 страниц, с указанием секции;</w:t>
      </w:r>
    </w:p>
    <w:p w14:paraId="1B000000">
      <w:pPr>
        <w:pStyle w:val="Style_4"/>
        <w:widowControl w:val="0"/>
        <w:numPr>
          <w:ilvl w:val="0"/>
          <w:numId w:val="1"/>
        </w:numPr>
        <w:spacing w:after="0" w:line="240" w:lineRule="auto"/>
        <w:ind w:firstLine="709" w:left="0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научно-практическую работу (электронный вариант).</w:t>
      </w:r>
    </w:p>
    <w:p w14:paraId="1C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Лучшие работы, отобранные жюри, будут опубликованы в электронном сборнике. </w:t>
      </w:r>
    </w:p>
    <w:p w14:paraId="1D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 w:val="1"/>
          <w:sz w:val="26"/>
        </w:rPr>
      </w:pPr>
    </w:p>
    <w:p w14:paraId="1E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Подробная информация об условиях участия в мероприятии содержится в Положении о порядке организации и проведения конференции. </w:t>
      </w:r>
    </w:p>
    <w:p w14:paraId="1F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</w:p>
    <w:p w14:paraId="20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Информация о прохождении заочного этапа и приглашение на очный этап будут разосланы участникам Конференции по электронным адресам, указанным в заявках. </w:t>
      </w:r>
    </w:p>
    <w:p w14:paraId="21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 w:val="1"/>
          <w:sz w:val="26"/>
        </w:rPr>
      </w:pPr>
    </w:p>
    <w:p w14:paraId="22000000">
      <w:pPr>
        <w:widowControl w:val="0"/>
        <w:spacing w:line="240" w:lineRule="auto"/>
        <w:ind w:firstLine="708"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Контактная информация: </w:t>
      </w:r>
      <w:r>
        <w:rPr>
          <w:rFonts w:ascii="Times New Roman" w:hAnsi="Times New Roman"/>
          <w:sz w:val="26"/>
        </w:rPr>
        <w:t>тел./факс: (843) 272-36-42, е-</w:t>
      </w:r>
      <w:r>
        <w:rPr>
          <w:rFonts w:ascii="Times New Roman" w:hAnsi="Times New Roman"/>
          <w:sz w:val="26"/>
        </w:rPr>
        <w:t>mail</w:t>
      </w:r>
      <w:r>
        <w:rPr>
          <w:rFonts w:ascii="Times New Roman" w:hAnsi="Times New Roman"/>
          <w:sz w:val="26"/>
        </w:rPr>
        <w:t>: gim2072@mail.ru</w:t>
      </w:r>
    </w:p>
    <w:p w14:paraId="23000000">
      <w:pPr>
        <w:widowControl w:val="0"/>
        <w:spacing w:line="240" w:lineRule="auto"/>
        <w:ind/>
        <w:jc w:val="right"/>
        <w:rPr>
          <w:rFonts w:ascii="Times New Roman" w:hAnsi="Times New Roman"/>
          <w:b w:val="1"/>
          <w:i w:val="1"/>
          <w:sz w:val="26"/>
        </w:rPr>
      </w:pPr>
    </w:p>
    <w:p w14:paraId="24000000">
      <w:pPr>
        <w:widowControl w:val="0"/>
        <w:spacing w:line="240" w:lineRule="auto"/>
        <w:ind/>
        <w:jc w:val="right"/>
        <w:rPr>
          <w:rFonts w:ascii="Times New Roman" w:hAnsi="Times New Roman"/>
          <w:b w:val="1"/>
          <w:i w:val="1"/>
          <w:sz w:val="26"/>
        </w:rPr>
      </w:pPr>
      <w:r>
        <w:rPr>
          <w:rFonts w:ascii="Times New Roman" w:hAnsi="Times New Roman"/>
          <w:b w:val="1"/>
          <w:i w:val="1"/>
          <w:sz w:val="26"/>
        </w:rPr>
        <w:t>С уважением, Оргкомитет конференции</w:t>
      </w:r>
    </w:p>
    <w:p w14:paraId="25000000">
      <w:pPr>
        <w:widowControl w:val="0"/>
        <w:spacing w:line="240" w:lineRule="auto"/>
        <w:ind w:firstLine="708"/>
        <w:jc w:val="both"/>
        <w:rPr>
          <w:rFonts w:ascii="Times New Roman" w:hAnsi="Times New Roman"/>
          <w:b w:val="1"/>
          <w:sz w:val="26"/>
        </w:rPr>
      </w:pPr>
    </w:p>
    <w:p w14:paraId="26000000">
      <w:pPr>
        <w:widowControl w:val="0"/>
        <w:spacing w:line="240" w:lineRule="auto"/>
        <w:ind w:firstLine="708"/>
        <w:jc w:val="both"/>
        <w:rPr>
          <w:rFonts w:ascii="Times New Roman" w:hAnsi="Times New Roman"/>
          <w:b w:val="1"/>
          <w:sz w:val="26"/>
        </w:rPr>
      </w:pPr>
    </w:p>
    <w:p w14:paraId="27000000">
      <w:pPr>
        <w:widowControl w:val="0"/>
        <w:ind w:firstLine="708"/>
        <w:jc w:val="both"/>
        <w:rPr>
          <w:b w:val="1"/>
          <w:sz w:val="26"/>
        </w:rPr>
      </w:pPr>
    </w:p>
    <w:p w14:paraId="28000000">
      <w:pPr>
        <w:widowControl w:val="0"/>
        <w:ind w:firstLine="708"/>
        <w:jc w:val="both"/>
        <w:rPr>
          <w:b w:val="1"/>
          <w:sz w:val="26"/>
        </w:rPr>
      </w:pPr>
    </w:p>
    <w:p w14:paraId="29000000">
      <w:pPr>
        <w:widowControl w:val="0"/>
        <w:ind w:firstLine="708"/>
        <w:jc w:val="both"/>
        <w:rPr>
          <w:b w:val="1"/>
          <w:sz w:val="26"/>
        </w:rPr>
      </w:pPr>
    </w:p>
    <w:p w14:paraId="2A000000">
      <w:pPr>
        <w:widowControl w:val="0"/>
        <w:spacing w:line="360" w:lineRule="auto"/>
        <w:ind/>
        <w:jc w:val="center"/>
        <w:rPr>
          <w:sz w:val="26"/>
        </w:rPr>
      </w:pPr>
    </w:p>
    <w:p w14:paraId="2B000000">
      <w:pPr>
        <w:widowControl w:val="0"/>
        <w:spacing w:line="360" w:lineRule="auto"/>
        <w:ind/>
        <w:jc w:val="center"/>
        <w:rPr>
          <w:sz w:val="26"/>
        </w:rPr>
      </w:pPr>
    </w:p>
    <w:p w14:paraId="2C000000">
      <w:pPr>
        <w:widowControl w:val="0"/>
        <w:spacing w:line="360" w:lineRule="auto"/>
        <w:ind/>
        <w:jc w:val="center"/>
        <w:rPr>
          <w:sz w:val="26"/>
        </w:rPr>
      </w:pPr>
    </w:p>
    <w:p w14:paraId="2D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2E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2F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30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31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32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33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34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35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ПОЛОЖЕНИЕ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 w:val="1"/>
          <w:sz w:val="24"/>
        </w:rPr>
        <w:t xml:space="preserve">о порядке организации и проведения XII Всероссийской научной </w:t>
      </w:r>
      <w:r>
        <w:rPr>
          <w:rFonts w:ascii="Times New Roman" w:hAnsi="Times New Roman"/>
          <w:b w:val="1"/>
          <w:sz w:val="24"/>
        </w:rPr>
        <w:t xml:space="preserve">конференции учащихся </w:t>
      </w:r>
      <w:r>
        <w:rPr>
          <w:rFonts w:ascii="Times New Roman" w:hAnsi="Times New Roman"/>
          <w:b w:val="1"/>
          <w:sz w:val="24"/>
        </w:rPr>
        <w:t xml:space="preserve">по праву «Право как основа современного общества», посвященной Году </w:t>
      </w:r>
      <w:r>
        <w:rPr>
          <w:rFonts w:ascii="Times New Roman" w:hAnsi="Times New Roman"/>
          <w:b w:val="1"/>
          <w:color w:val="1F1F1F"/>
          <w:sz w:val="24"/>
          <w:highlight w:val="white"/>
        </w:rPr>
        <w:t>защитника Отечества</w:t>
      </w:r>
      <w:r>
        <w:t xml:space="preserve"> </w:t>
      </w:r>
      <w:r>
        <w:rPr>
          <w:rFonts w:ascii="Times New Roman" w:hAnsi="Times New Roman"/>
          <w:b w:val="1"/>
          <w:color w:val="1F1F1F"/>
          <w:sz w:val="24"/>
        </w:rPr>
        <w:t>в Российской Федерации и 80-летию Победы в Великой Отечественной войне</w:t>
      </w:r>
    </w:p>
    <w:p w14:paraId="3600000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 w:val="1"/>
          <w:sz w:val="24"/>
        </w:rPr>
      </w:pPr>
    </w:p>
    <w:p w14:paraId="37000000">
      <w:pPr>
        <w:pStyle w:val="Style_4"/>
        <w:widowControl w:val="0"/>
        <w:numPr>
          <w:ilvl w:val="0"/>
          <w:numId w:val="2"/>
        </w:numPr>
        <w:spacing w:after="0" w:line="240" w:lineRule="auto"/>
        <w:ind w:firstLine="709" w:left="0"/>
        <w:contextualSpacing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Общие положения. </w:t>
      </w:r>
    </w:p>
    <w:p w14:paraId="38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Настоящее положение определяет порядок организации и</w:t>
      </w:r>
      <w:r>
        <w:rPr>
          <w:rFonts w:ascii="Times New Roman" w:hAnsi="Times New Roman"/>
          <w:sz w:val="24"/>
        </w:rPr>
        <w:t xml:space="preserve"> проведения научной</w:t>
      </w:r>
      <w:r>
        <w:rPr>
          <w:rFonts w:ascii="Times New Roman" w:hAnsi="Times New Roman"/>
          <w:sz w:val="24"/>
        </w:rPr>
        <w:t xml:space="preserve"> конференции </w:t>
      </w:r>
      <w:r>
        <w:rPr>
          <w:rFonts w:ascii="Times New Roman" w:hAnsi="Times New Roman"/>
          <w:sz w:val="24"/>
        </w:rPr>
        <w:t>учащихся по праву</w:t>
      </w:r>
      <w:bookmarkStart w:id="1" w:name="_GoBack"/>
      <w:bookmarkEnd w:id="1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«Право как основа современного общества» (далее ‒ Конференция). </w:t>
      </w:r>
    </w:p>
    <w:p w14:paraId="39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 xml:space="preserve">1.2. Рабочие языки Конференции: русский, английский, татарский. </w:t>
      </w:r>
    </w:p>
    <w:p w14:paraId="3A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 w:val="1"/>
          <w:sz w:val="24"/>
        </w:rPr>
      </w:pPr>
    </w:p>
    <w:p w14:paraId="3B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II. Цели задачи Конференции. </w:t>
      </w:r>
    </w:p>
    <w:p w14:paraId="3C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 Целями конференции  являются выявление «одаренных детей», поддержка творчества школьников, популяризация права, повышение правовой культуры учащихся и студентов, стимулирование интереса учащихся к изучению гуманитарных предметов, развитие научных и исследовательских навыков обучающихся. </w:t>
      </w:r>
    </w:p>
    <w:p w14:paraId="3D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 Задачи Конференции: </w:t>
      </w:r>
    </w:p>
    <w:p w14:paraId="3E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консолидация усилий педагогов, родителей (законных представителей), общественности в развитии исследовательской и творческой деятельности учащихся; </w:t>
      </w:r>
    </w:p>
    <w:p w14:paraId="3F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создание необходимых условий для поддержки одаренных детей и развитие у учащихся интереса к юриспруденции; </w:t>
      </w:r>
    </w:p>
    <w:p w14:paraId="4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формирование у старшеклассников исследовательской компетенции; </w:t>
      </w:r>
    </w:p>
    <w:p w14:paraId="41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распространение и пропаганда опыта работы и достижений образовательных учреждений по организации научно-исследовательской деятельности школьников; </w:t>
      </w:r>
    </w:p>
    <w:p w14:paraId="42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социально-профессиональное самоопределение школьников; </w:t>
      </w:r>
    </w:p>
    <w:p w14:paraId="43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повышение общего уровня речевой культуры и межъязыковой толерантности; </w:t>
      </w:r>
    </w:p>
    <w:p w14:paraId="44000000">
      <w:pPr>
        <w:pStyle w:val="Style_5"/>
        <w:widowControl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привлечение учащихся к решению актуальных правовых проблем и их практического применения; </w:t>
      </w:r>
    </w:p>
    <w:p w14:paraId="45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осуществление интеграции государственных и общественных усилий во взаимодействии «школа – наука – вуз». </w:t>
      </w:r>
    </w:p>
    <w:p w14:paraId="46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47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III. Организаторы Конференции </w:t>
      </w:r>
    </w:p>
    <w:p w14:paraId="48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 Организаторами Конференции выступают: </w:t>
      </w:r>
    </w:p>
    <w:p w14:paraId="49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Управление Судебного департамента в Республике Татарстан; </w:t>
      </w:r>
    </w:p>
    <w:p w14:paraId="4A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‒ Казанский филиал ФГБОУВО «Российский государственный университет правосудия</w:t>
      </w:r>
      <w:r>
        <w:t xml:space="preserve"> </w:t>
      </w:r>
      <w:r>
        <w:rPr>
          <w:rFonts w:ascii="Times New Roman" w:hAnsi="Times New Roman"/>
          <w:sz w:val="24"/>
        </w:rPr>
        <w:t>им. В.М. Лебедева</w:t>
      </w:r>
      <w:r>
        <w:rPr>
          <w:rFonts w:ascii="Times New Roman" w:hAnsi="Times New Roman"/>
          <w:sz w:val="24"/>
        </w:rPr>
        <w:t xml:space="preserve">»; </w:t>
      </w:r>
    </w:p>
    <w:p w14:paraId="4B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Управление образования Исполнительного комитета муниципального образования города Казани; </w:t>
      </w:r>
    </w:p>
    <w:p w14:paraId="4C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Отдел образования Управления образования Исполнительного комитета муниципального образования города Казани по Советскому району; </w:t>
      </w:r>
    </w:p>
    <w:p w14:paraId="4D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МБОУ «Гимназия № 20 имени Абдуллы </w:t>
      </w:r>
      <w:r>
        <w:rPr>
          <w:rFonts w:ascii="Times New Roman" w:hAnsi="Times New Roman"/>
          <w:sz w:val="24"/>
        </w:rPr>
        <w:t>Алиша</w:t>
      </w:r>
      <w:r>
        <w:rPr>
          <w:rFonts w:ascii="Times New Roman" w:hAnsi="Times New Roman"/>
          <w:sz w:val="24"/>
        </w:rPr>
        <w:t xml:space="preserve">» Советского района г. Казани. </w:t>
      </w:r>
    </w:p>
    <w:p w14:paraId="4E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 w:val="1"/>
          <w:sz w:val="24"/>
        </w:rPr>
      </w:pPr>
    </w:p>
    <w:p w14:paraId="4F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IV. Руководство Конференцией. </w:t>
      </w:r>
    </w:p>
    <w:p w14:paraId="5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Общее руководство подготовкой и проведением Конференции осуществляется Оргкомитетом. </w:t>
      </w:r>
    </w:p>
    <w:p w14:paraId="51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 Оргкомитет решает вопросы поощрения призеров Конференций и научных руководителей, способствует привлечению внимания общественности, средств массовой информации, физических и юридических лиц к деятельности Конференции, совместно с жюри подводит итоги, награждает лауреатов и победителей Конференции. </w:t>
      </w:r>
    </w:p>
    <w:p w14:paraId="52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 Оргкомитет формирует состав жюри в секциях. </w:t>
      </w:r>
    </w:p>
    <w:p w14:paraId="53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 Все спорные вопросы решаются Оргкомитетом. </w:t>
      </w:r>
    </w:p>
    <w:p w14:paraId="54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V. Участники Конференции. </w:t>
      </w:r>
    </w:p>
    <w:p w14:paraId="55000000">
      <w:pPr>
        <w:widowControl w:val="0"/>
        <w:spacing w:after="0"/>
        <w:ind w:firstLine="708"/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sz w:val="24"/>
        </w:rPr>
        <w:t xml:space="preserve">5.1. В Конференции могут принять участие обучающиеся VIII-XI классов общеобразовательных организаций региона, студенты 1 кура организаций среднего профессионального образования Российской Федерации. </w:t>
      </w:r>
    </w:p>
    <w:p w14:paraId="56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 w:val="1"/>
          <w:sz w:val="24"/>
        </w:rPr>
      </w:pPr>
    </w:p>
    <w:p w14:paraId="57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VI. Направления работы Конференции. </w:t>
      </w:r>
    </w:p>
    <w:p w14:paraId="58000000">
      <w:pPr>
        <w:pStyle w:val="Style_5"/>
        <w:widowControl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В рамках Конференции предлагаются работы секций по следующим направлениям: </w:t>
      </w:r>
    </w:p>
    <w:p w14:paraId="59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</w:t>
      </w:r>
      <w:r>
        <w:rPr>
          <w:rFonts w:ascii="Times New Roman" w:hAnsi="Times New Roman"/>
          <w:b w:val="1"/>
          <w:sz w:val="24"/>
        </w:rPr>
        <w:t xml:space="preserve">место и роль права в жизни общества </w:t>
      </w:r>
      <w:r>
        <w:rPr>
          <w:rFonts w:ascii="Times New Roman" w:hAnsi="Times New Roman"/>
          <w:sz w:val="24"/>
        </w:rPr>
        <w:t xml:space="preserve">(право свободы и обязанности человека в современном мире); </w:t>
      </w:r>
    </w:p>
    <w:p w14:paraId="5A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‒</w:t>
      </w:r>
      <w:r>
        <w:rPr>
          <w:rFonts w:ascii="Times New Roman" w:hAnsi="Times New Roman"/>
          <w:b w:val="1"/>
          <w:sz w:val="24"/>
        </w:rPr>
        <w:t xml:space="preserve"> вопросы права, нравственности, морали и правосудия в произведениях русской  и зарубежной  литературы</w:t>
      </w:r>
      <w:r>
        <w:rPr>
          <w:rFonts w:ascii="Times New Roman" w:hAnsi="Times New Roman"/>
          <w:sz w:val="24"/>
        </w:rPr>
        <w:t xml:space="preserve">; </w:t>
      </w:r>
    </w:p>
    <w:p w14:paraId="5B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4"/>
        </w:rPr>
        <w:t xml:space="preserve">‒ </w:t>
      </w:r>
      <w:r>
        <w:rPr>
          <w:rFonts w:ascii="Times New Roman" w:hAnsi="Times New Roman"/>
          <w:b w:val="1"/>
          <w:sz w:val="24"/>
        </w:rPr>
        <w:t xml:space="preserve">татар </w:t>
      </w:r>
      <w:r>
        <w:rPr>
          <w:rFonts w:ascii="Times New Roman" w:hAnsi="Times New Roman"/>
          <w:b w:val="1"/>
          <w:sz w:val="24"/>
        </w:rPr>
        <w:t>әдәбиятында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хокук</w:t>
      </w:r>
      <w:r>
        <w:rPr>
          <w:rFonts w:ascii="Times New Roman" w:hAnsi="Times New Roman"/>
          <w:b w:val="1"/>
          <w:sz w:val="24"/>
        </w:rPr>
        <w:t xml:space="preserve">, </w:t>
      </w:r>
      <w:r>
        <w:rPr>
          <w:rFonts w:ascii="Times New Roman" w:hAnsi="Times New Roman"/>
          <w:b w:val="1"/>
          <w:sz w:val="24"/>
        </w:rPr>
        <w:t>әхлак</w:t>
      </w:r>
      <w:r>
        <w:rPr>
          <w:rFonts w:ascii="Times New Roman" w:hAnsi="Times New Roman"/>
          <w:b w:val="1"/>
          <w:sz w:val="24"/>
        </w:rPr>
        <w:t xml:space="preserve">, мораль </w:t>
      </w:r>
      <w:r>
        <w:rPr>
          <w:rFonts w:ascii="Times New Roman" w:hAnsi="Times New Roman"/>
          <w:b w:val="1"/>
          <w:sz w:val="24"/>
        </w:rPr>
        <w:t>проблемалары</w:t>
      </w:r>
      <w:r>
        <w:rPr>
          <w:rFonts w:ascii="Times New Roman" w:hAnsi="Times New Roman"/>
          <w:sz w:val="24"/>
        </w:rPr>
        <w:t xml:space="preserve"> (проблемы прав человека, морали, нравственности в татарской</w:t>
      </w:r>
      <w:r>
        <w:rPr>
          <w:rFonts w:ascii="Times New Roman" w:hAnsi="Times New Roman"/>
          <w:sz w:val="26"/>
        </w:rPr>
        <w:t xml:space="preserve"> литературе). </w:t>
      </w:r>
    </w:p>
    <w:p w14:paraId="5C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 w:val="1"/>
          <w:sz w:val="24"/>
        </w:rPr>
      </w:pPr>
    </w:p>
    <w:p w14:paraId="5D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VII. Требования к научно-исследовательским работам. </w:t>
      </w:r>
    </w:p>
    <w:p w14:paraId="5E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7.1. Научно-исследовательские, научно-практические работы должны соответствовать следующим требованиям: </w:t>
      </w:r>
    </w:p>
    <w:p w14:paraId="5F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наличие исследовательского подхода, использование практического или экспериментального, собранного и обработанного материала с помощью конкретной методики; </w:t>
      </w:r>
    </w:p>
    <w:p w14:paraId="60000000">
      <w:pPr>
        <w:pStyle w:val="Style_4"/>
        <w:widowControl w:val="0"/>
        <w:numPr>
          <w:ilvl w:val="0"/>
          <w:numId w:val="3"/>
        </w:numPr>
        <w:spacing w:after="0" w:line="240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структурированность (литературный обзор, обоснование актуальности, постановка цели и задач, описание методов исследования, выводы, эстетическое оформление, список использованной литературы, приложения – если имеются). </w:t>
      </w:r>
    </w:p>
    <w:p w14:paraId="61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 xml:space="preserve">Для текстовых файлов необходимо использовать шрифт </w:t>
      </w:r>
      <w:r>
        <w:rPr>
          <w:rFonts w:ascii="Times New Roman" w:hAnsi="Times New Roman"/>
          <w:sz w:val="24"/>
        </w:rPr>
        <w:t>Times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New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Roman</w:t>
      </w:r>
      <w:r>
        <w:rPr>
          <w:rFonts w:ascii="Times New Roman" w:hAnsi="Times New Roman"/>
          <w:sz w:val="24"/>
        </w:rPr>
        <w:t xml:space="preserve">, 14 шрифт, межстрочный интервал – одинарный, поля </w:t>
      </w:r>
      <w:r>
        <w:rPr>
          <w:rFonts w:ascii="Times New Roman" w:hAnsi="Times New Roman"/>
          <w:sz w:val="24"/>
        </w:rPr>
        <w:t>сверху  –</w:t>
      </w:r>
      <w:r>
        <w:rPr>
          <w:rFonts w:ascii="Times New Roman" w:hAnsi="Times New Roman"/>
          <w:sz w:val="24"/>
        </w:rPr>
        <w:t xml:space="preserve"> 1,5 см., снизу – 2 см., справа – 1,5 см., слева – 2 см. </w:t>
      </w:r>
    </w:p>
    <w:p w14:paraId="62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На титульном листе указываются: полное название образовательной организации, город, район, ФИО обучающегося, класс, тема и направление работы, ФИО учителя. Объем работы не должен превышать 12 страниц (иллюстрации ‒ 5-7 стр.).  </w:t>
      </w:r>
    </w:p>
    <w:p w14:paraId="63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Работы, присланные на Конференцию, не рецензируются и не возвращаются. </w:t>
      </w:r>
    </w:p>
    <w:p w14:paraId="64000000">
      <w:pPr>
        <w:widowControl w:val="0"/>
        <w:spacing w:after="0" w:line="240" w:lineRule="auto"/>
        <w:ind w:firstLine="709"/>
        <w:rPr>
          <w:rFonts w:ascii="Times New Roman" w:hAnsi="Times New Roman"/>
          <w:b w:val="1"/>
          <w:sz w:val="24"/>
        </w:rPr>
      </w:pPr>
    </w:p>
    <w:p w14:paraId="65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VIII</w:t>
      </w:r>
      <w:r>
        <w:rPr>
          <w:rFonts w:ascii="Times New Roman" w:hAnsi="Times New Roman"/>
          <w:b w:val="1"/>
          <w:i w:val="1"/>
          <w:sz w:val="24"/>
        </w:rPr>
        <w:t xml:space="preserve"> .</w:t>
      </w:r>
      <w:r>
        <w:rPr>
          <w:rFonts w:ascii="Times New Roman" w:hAnsi="Times New Roman"/>
          <w:b w:val="1"/>
          <w:sz w:val="24"/>
        </w:rPr>
        <w:t xml:space="preserve">Критерии оценки работ. </w:t>
      </w:r>
    </w:p>
    <w:p w14:paraId="66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Критериями оценки работ являются: </w:t>
      </w:r>
    </w:p>
    <w:p w14:paraId="67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актуальность и новизна раскрываемой темы; </w:t>
      </w:r>
    </w:p>
    <w:p w14:paraId="68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соответствие работы заявленной теме; </w:t>
      </w:r>
    </w:p>
    <w:p w14:paraId="69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комплексность, полнота и объем проведенного исследования; </w:t>
      </w:r>
    </w:p>
    <w:p w14:paraId="6A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обоснованность выбранных методов, выводов и рекомендаций; </w:t>
      </w:r>
    </w:p>
    <w:p w14:paraId="6B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самостоятельность мышления, логичность в изложении результатов; </w:t>
      </w:r>
    </w:p>
    <w:p w14:paraId="6C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степень проработки исследований предшественников, учета полученных ими данных при обсуждении собственных результатов; </w:t>
      </w:r>
    </w:p>
    <w:p w14:paraId="6D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коммуникативная компетенция; </w:t>
      </w:r>
    </w:p>
    <w:p w14:paraId="6E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умение отвечать на вопросы. </w:t>
      </w:r>
    </w:p>
    <w:p w14:paraId="6F000000">
      <w:pPr>
        <w:widowControl w:val="0"/>
        <w:spacing w:after="0" w:line="240" w:lineRule="auto"/>
        <w:ind/>
        <w:rPr>
          <w:rFonts w:ascii="Times New Roman" w:hAnsi="Times New Roman"/>
          <w:sz w:val="24"/>
        </w:rPr>
      </w:pPr>
    </w:p>
    <w:p w14:paraId="7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IX. Условия и порядок проведения Конференции. </w:t>
      </w:r>
    </w:p>
    <w:p w14:paraId="71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9.1. Конференция проводится в два этапа: </w:t>
      </w:r>
    </w:p>
    <w:p w14:paraId="72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I этап</w:t>
      </w:r>
      <w:r>
        <w:rPr>
          <w:rFonts w:ascii="Times New Roman" w:hAnsi="Times New Roman"/>
          <w:sz w:val="24"/>
        </w:rPr>
        <w:t xml:space="preserve"> – отборочный тур (заочный), в ходе которого осуществляется отбор и рецензирование представленных работ экспертной комиссией. </w:t>
      </w:r>
    </w:p>
    <w:p w14:paraId="73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74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Прием заявок на участие осуществляется по электронной почте </w:t>
      </w:r>
      <w:r>
        <w:rPr>
          <w:rStyle w:val="Style_3_ch"/>
          <w:rFonts w:ascii="Times New Roman" w:hAnsi="Times New Roman"/>
          <w:b w:val="1"/>
          <w:sz w:val="24"/>
        </w:rPr>
        <w:fldChar w:fldCharType="begin"/>
      </w:r>
      <w:r>
        <w:rPr>
          <w:rStyle w:val="Style_3_ch"/>
          <w:rFonts w:ascii="Times New Roman" w:hAnsi="Times New Roman"/>
          <w:b w:val="1"/>
          <w:sz w:val="24"/>
        </w:rPr>
        <w:instrText>HYPERLINK "mailto:gim2072@mail.ru"</w:instrText>
      </w:r>
      <w:r>
        <w:rPr>
          <w:rStyle w:val="Style_3_ch"/>
          <w:rFonts w:ascii="Times New Roman" w:hAnsi="Times New Roman"/>
          <w:b w:val="1"/>
          <w:sz w:val="24"/>
        </w:rPr>
        <w:fldChar w:fldCharType="separate"/>
      </w:r>
      <w:r>
        <w:rPr>
          <w:rStyle w:val="Style_3_ch"/>
          <w:rFonts w:ascii="Times New Roman" w:hAnsi="Times New Roman"/>
          <w:b w:val="1"/>
          <w:sz w:val="24"/>
        </w:rPr>
        <w:t>gim2072@mail.ru</w:t>
      </w:r>
      <w:r>
        <w:rPr>
          <w:rStyle w:val="Style_3_ch"/>
          <w:rFonts w:ascii="Times New Roman" w:hAnsi="Times New Roman"/>
          <w:b w:val="1"/>
          <w:sz w:val="24"/>
        </w:rPr>
        <w:fldChar w:fldCharType="end"/>
      </w:r>
      <w:r>
        <w:rPr>
          <w:rFonts w:ascii="Times New Roman" w:hAnsi="Times New Roman"/>
          <w:b w:val="1"/>
          <w:sz w:val="24"/>
        </w:rPr>
        <w:t xml:space="preserve"> до 25 ноября  2025 года. Заявки, присланные позднее указанного срока, рассматриваться не будут. Для участия в качестве докладчика необходимо </w:t>
      </w:r>
      <w:r>
        <w:rPr>
          <w:rFonts w:ascii="Times New Roman" w:hAnsi="Times New Roman"/>
          <w:b w:val="1"/>
          <w:sz w:val="24"/>
        </w:rPr>
        <w:t>предоставить тезисы проекта (работы) объемом не более 1 страниц (</w:t>
      </w:r>
      <w:r>
        <w:rPr>
          <w:rFonts w:ascii="Times New Roman" w:hAnsi="Times New Roman"/>
          <w:sz w:val="24"/>
        </w:rPr>
        <w:t>Приложение 2),</w:t>
      </w:r>
      <w:r>
        <w:rPr>
          <w:rFonts w:ascii="Times New Roman" w:hAnsi="Times New Roman"/>
          <w:b w:val="1"/>
          <w:sz w:val="24"/>
        </w:rPr>
        <w:t xml:space="preserve"> отражающие основные положения исследовательской работы, с указанием секции, в которой планируется выступление, научно-практическую работу (электронный вариант). </w:t>
      </w:r>
    </w:p>
    <w:p w14:paraId="75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II этап – заключительный тур проводится 6 декабря 2025 года в смешанном формате: с очным присутствием и дистанционно в режиме онлайн с использованием видеоконференции. Выступить с докладом на Конференции могут участники, которые включены в программу Конференции экспертной комиссией. Перед выступлением жюри проводит </w:t>
      </w:r>
      <w:r>
        <w:rPr>
          <w:rFonts w:ascii="Times New Roman" w:hAnsi="Times New Roman"/>
          <w:sz w:val="24"/>
        </w:rPr>
        <w:t>видеоидентификацию</w:t>
      </w:r>
      <w:r>
        <w:rPr>
          <w:rFonts w:ascii="Times New Roman" w:hAnsi="Times New Roman"/>
          <w:sz w:val="24"/>
        </w:rPr>
        <w:t xml:space="preserve"> с демонстрацией участником паспорта или иного документа, позволяющего идентифицировать личность участника. Регламент выступления участников Конференции предусматривает публичную защиту научно-исследовательской работы (продолжительность – до 7 мин.). Приветствуется компьютерная презентация. </w:t>
      </w:r>
    </w:p>
    <w:p w14:paraId="76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 w:val="1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Информация о прохождении заочного этапа и приглашение на следующий этап будут разосланы участникам Конференции по электронным адресам, указанным в заявках. </w:t>
      </w:r>
    </w:p>
    <w:p w14:paraId="77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 w:val="1"/>
          <w:sz w:val="24"/>
          <w:u w:val="single"/>
        </w:rPr>
      </w:pPr>
    </w:p>
    <w:p w14:paraId="78000000">
      <w:pPr>
        <w:pStyle w:val="Style_4"/>
        <w:widowControl w:val="0"/>
        <w:numPr>
          <w:ilvl w:val="0"/>
          <w:numId w:val="4"/>
        </w:numPr>
        <w:spacing w:after="0" w:line="240" w:lineRule="auto"/>
        <w:ind w:firstLine="709" w:left="0"/>
        <w:contextualSpacing w:val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Подведение итогов Конференции и награждение победителей. </w:t>
      </w:r>
    </w:p>
    <w:p w14:paraId="79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10.1. Научно-исследовательскую работу и выступление участников будет оценивать жюри, утвержденное оргкомитетом Конференции. </w:t>
      </w:r>
    </w:p>
    <w:p w14:paraId="7A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Публичное выступление участника на Конференции оценивается в соответствии с разработанными критериями. </w:t>
      </w:r>
    </w:p>
    <w:p w14:paraId="7B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окончании заслушивания публичных выступлений участников проводятся заседания жюри на каждой предметной секции отдельно, на которых подводятся итоги и выносятся решения о победителях и призерах. </w:t>
      </w:r>
    </w:p>
    <w:p w14:paraId="7C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Решение жюри протоколируется, является окончательным. </w:t>
      </w:r>
    </w:p>
    <w:p w14:paraId="7D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Претензии и замечания по работе Конференции принимаются оргкомитетом в день работы предметных секций. </w:t>
      </w:r>
    </w:p>
    <w:p w14:paraId="7E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Победители Конференции награждаются дипломами, всем участникам вручаются сертификаты. </w:t>
      </w:r>
    </w:p>
    <w:p w14:paraId="7F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8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81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82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83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84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85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86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87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88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89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8A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8B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8C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8D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8E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8F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9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91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92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93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94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95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96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97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9800000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</w:t>
      </w:r>
    </w:p>
    <w:p w14:paraId="99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9A000000">
      <w:pPr>
        <w:widowControl w:val="0"/>
        <w:spacing w:after="0" w:line="240" w:lineRule="auto"/>
        <w:ind/>
        <w:jc w:val="center"/>
        <w:rPr>
          <w:rFonts w:ascii="Times New Roman" w:hAnsi="Times New Roman"/>
          <w:i w:val="1"/>
          <w:sz w:val="24"/>
          <w:u w:val="single"/>
        </w:rPr>
      </w:pPr>
      <w:r>
        <w:rPr>
          <w:rFonts w:ascii="Times New Roman" w:hAnsi="Times New Roman"/>
          <w:i w:val="1"/>
          <w:sz w:val="24"/>
          <w:u w:val="single"/>
        </w:rPr>
        <w:t>Заявка на участие в Конференции направляется по установленной форме:</w:t>
      </w:r>
    </w:p>
    <w:p w14:paraId="9B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 w:val="1"/>
          <w:sz w:val="24"/>
          <w:u w:val="single"/>
        </w:rPr>
      </w:pPr>
    </w:p>
    <w:tbl>
      <w:tblPr>
        <w:tblStyle w:val="Style_6"/>
        <w:tblW w:type="auto" w:w="0"/>
        <w:tblLayout w:type="fixed"/>
      </w:tblPr>
      <w:tblGrid>
        <w:gridCol w:w="1668"/>
        <w:gridCol w:w="1701"/>
        <w:gridCol w:w="1559"/>
        <w:gridCol w:w="2410"/>
        <w:gridCol w:w="1984"/>
      </w:tblGrid>
      <w:tr>
        <w:tc>
          <w:tcPr>
            <w:tcW w:type="dxa" w:w="1668"/>
            <w:vAlign w:val="center"/>
          </w:tcPr>
          <w:p w14:paraId="9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ФИО (полностью),</w:t>
            </w:r>
          </w:p>
          <w:p w14:paraId="9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дата рождения участника</w:t>
            </w:r>
          </w:p>
        </w:tc>
        <w:tc>
          <w:tcPr>
            <w:tcW w:type="dxa" w:w="1701"/>
            <w:vAlign w:val="center"/>
          </w:tcPr>
          <w:p w14:paraId="9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 общеобразовательной организации по уставу, класс,</w:t>
            </w:r>
          </w:p>
          <w:p w14:paraId="9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район, город</w:t>
            </w:r>
          </w:p>
        </w:tc>
        <w:tc>
          <w:tcPr>
            <w:tcW w:type="dxa" w:w="1559"/>
            <w:vAlign w:val="center"/>
          </w:tcPr>
          <w:p w14:paraId="A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Контактные данные</w:t>
            </w:r>
          </w:p>
          <w:p w14:paraId="A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(номер моб. телефона, адрес электронной почты)</w:t>
            </w:r>
          </w:p>
        </w:tc>
        <w:tc>
          <w:tcPr>
            <w:tcW w:type="dxa" w:w="2410"/>
            <w:vAlign w:val="center"/>
          </w:tcPr>
          <w:p w14:paraId="A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ФИО (полностью) научного руководителя (учителя), должность</w:t>
            </w:r>
          </w:p>
        </w:tc>
        <w:tc>
          <w:tcPr>
            <w:tcW w:type="dxa" w:w="1984"/>
            <w:vAlign w:val="center"/>
          </w:tcPr>
          <w:p w14:paraId="A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Секция,</w:t>
            </w:r>
          </w:p>
          <w:p w14:paraId="A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название научной работы</w:t>
            </w:r>
          </w:p>
        </w:tc>
      </w:tr>
      <w:tr>
        <w:tc>
          <w:tcPr>
            <w:tcW w:type="dxa" w:w="1668"/>
          </w:tcPr>
          <w:p w14:paraId="A5000000">
            <w:pPr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</w:tcPr>
          <w:p w14:paraId="A6000000">
            <w:pPr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</w:tcPr>
          <w:p w14:paraId="A7000000">
            <w:pPr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0"/>
          </w:tcPr>
          <w:p w14:paraId="A8000000">
            <w:pPr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4"/>
          </w:tcPr>
          <w:p w14:paraId="A9000000">
            <w:pPr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668"/>
          </w:tcPr>
          <w:p w14:paraId="AA000000">
            <w:pPr>
              <w:widowControl w:val="0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</w:tcPr>
          <w:p w14:paraId="AB000000">
            <w:pPr>
              <w:widowControl w:val="0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9"/>
          </w:tcPr>
          <w:p w14:paraId="AC000000">
            <w:pPr>
              <w:widowControl w:val="0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0"/>
          </w:tcPr>
          <w:p w14:paraId="AD000000">
            <w:pPr>
              <w:widowControl w:val="0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4"/>
          </w:tcPr>
          <w:p w14:paraId="AE000000">
            <w:pPr>
              <w:widowControl w:val="0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AF00000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</w:rPr>
      </w:pPr>
    </w:p>
    <w:p w14:paraId="B000000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</w:rPr>
      </w:pPr>
    </w:p>
    <w:p w14:paraId="B100000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</w:rPr>
      </w:pPr>
    </w:p>
    <w:p w14:paraId="B200000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</w:rPr>
      </w:pPr>
    </w:p>
    <w:p w14:paraId="B300000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</w:rPr>
      </w:pPr>
    </w:p>
    <w:p w14:paraId="B400000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</w:rPr>
      </w:pPr>
    </w:p>
    <w:p w14:paraId="B500000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</w:rPr>
      </w:pPr>
    </w:p>
    <w:p w14:paraId="B600000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</w:t>
      </w:r>
    </w:p>
    <w:p w14:paraId="B7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B8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Требования к оформлению тезисов работ учащихся </w:t>
      </w:r>
    </w:p>
    <w:p w14:paraId="B900000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</w:p>
    <w:p w14:paraId="BA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тезисах должны быть отражены: </w:t>
      </w:r>
    </w:p>
    <w:p w14:paraId="BB000000">
      <w:pPr>
        <w:widowControl w:val="0"/>
        <w:numPr>
          <w:ilvl w:val="0"/>
          <w:numId w:val="5"/>
        </w:numPr>
        <w:tabs>
          <w:tab w:leader="none" w:pos="720" w:val="clear"/>
        </w:tabs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актуальность и значимость темы; </w:t>
      </w:r>
    </w:p>
    <w:p w14:paraId="BC000000">
      <w:pPr>
        <w:widowControl w:val="0"/>
        <w:numPr>
          <w:ilvl w:val="0"/>
          <w:numId w:val="5"/>
        </w:numPr>
        <w:tabs>
          <w:tab w:leader="none" w:pos="720" w:val="clear"/>
        </w:tabs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цель, задачи, методы; </w:t>
      </w:r>
    </w:p>
    <w:p w14:paraId="BD000000">
      <w:pPr>
        <w:widowControl w:val="0"/>
        <w:numPr>
          <w:ilvl w:val="0"/>
          <w:numId w:val="5"/>
        </w:numPr>
        <w:tabs>
          <w:tab w:leader="none" w:pos="720" w:val="clear"/>
        </w:tabs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проблема исследования, гипотеза; </w:t>
      </w:r>
    </w:p>
    <w:p w14:paraId="BE000000">
      <w:pPr>
        <w:widowControl w:val="0"/>
        <w:numPr>
          <w:ilvl w:val="0"/>
          <w:numId w:val="5"/>
        </w:numPr>
        <w:tabs>
          <w:tab w:leader="none" w:pos="720" w:val="clear"/>
        </w:tabs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краткое содержание работы; </w:t>
      </w:r>
    </w:p>
    <w:p w14:paraId="BF000000">
      <w:pPr>
        <w:widowControl w:val="0"/>
        <w:numPr>
          <w:ilvl w:val="0"/>
          <w:numId w:val="5"/>
        </w:numPr>
        <w:tabs>
          <w:tab w:leader="none" w:pos="720" w:val="clear"/>
        </w:tabs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выводы. </w:t>
      </w:r>
    </w:p>
    <w:p w14:paraId="C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 w:val="1"/>
          <w:sz w:val="24"/>
        </w:rPr>
      </w:pPr>
    </w:p>
    <w:p w14:paraId="C1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Объем тезисов – не более 1 страницы. </w:t>
      </w:r>
      <w:r>
        <w:rPr>
          <w:rFonts w:ascii="Times New Roman" w:hAnsi="Times New Roman"/>
          <w:sz w:val="24"/>
        </w:rPr>
        <w:t xml:space="preserve">Шрифт </w:t>
      </w:r>
      <w:r>
        <w:rPr>
          <w:rFonts w:ascii="Times New Roman" w:hAnsi="Times New Roman"/>
          <w:sz w:val="24"/>
        </w:rPr>
        <w:t>Times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New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Roman</w:t>
      </w:r>
      <w:r>
        <w:rPr>
          <w:rFonts w:ascii="Times New Roman" w:hAnsi="Times New Roman"/>
          <w:sz w:val="24"/>
        </w:rPr>
        <w:t xml:space="preserve">, 12 шрифт, межстрочный интервал – одинарный, поля сверху – 1,5 см., снизу – 2 см., справа – 1,5 см., слева – 2 см. </w:t>
      </w:r>
    </w:p>
    <w:p w14:paraId="C2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C3000000">
      <w:pPr>
        <w:widowControl w:val="0"/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Оформление тезисов. </w:t>
      </w:r>
    </w:p>
    <w:p w14:paraId="C4000000">
      <w:pPr>
        <w:widowControl w:val="0"/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Семейное право в жизни</w:t>
      </w:r>
    </w:p>
    <w:p w14:paraId="C5000000">
      <w:pPr>
        <w:widowControl w:val="0"/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гражданина Российской Федерации</w:t>
      </w:r>
    </w:p>
    <w:p w14:paraId="C6000000">
      <w:pPr>
        <w:widowControl w:val="0"/>
        <w:spacing w:after="0"/>
        <w:ind/>
        <w:jc w:val="center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Хамидуллина</w:t>
      </w:r>
      <w:r>
        <w:rPr>
          <w:rFonts w:ascii="Times New Roman" w:hAnsi="Times New Roman"/>
          <w:i w:val="1"/>
          <w:sz w:val="28"/>
        </w:rPr>
        <w:t xml:space="preserve"> Алсу, ученица 9А класса МБОУ «Гимназия № 20 имени Абдуллы </w:t>
      </w:r>
      <w:r>
        <w:rPr>
          <w:rFonts w:ascii="Times New Roman" w:hAnsi="Times New Roman"/>
          <w:i w:val="1"/>
          <w:sz w:val="28"/>
        </w:rPr>
        <w:t>Алиша</w:t>
      </w:r>
      <w:r>
        <w:rPr>
          <w:rFonts w:ascii="Times New Roman" w:hAnsi="Times New Roman"/>
          <w:i w:val="1"/>
          <w:sz w:val="28"/>
        </w:rPr>
        <w:t xml:space="preserve">», г. Казани </w:t>
      </w:r>
    </w:p>
    <w:p w14:paraId="C7000000">
      <w:pPr>
        <w:widowControl w:val="0"/>
        <w:spacing w:after="0"/>
        <w:ind/>
        <w:jc w:val="center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Научный руководитель: Фархутдинова Э.М., учитель истории.</w:t>
      </w:r>
    </w:p>
    <w:p w14:paraId="C8000000">
      <w:pPr>
        <w:widowControl w:val="0"/>
        <w:spacing w:after="0" w:line="240" w:lineRule="auto"/>
        <w:ind w:firstLine="709"/>
        <w:rPr>
          <w:rFonts w:ascii="Times New Roman" w:hAnsi="Times New Roman"/>
          <w:sz w:val="24"/>
        </w:rPr>
      </w:pPr>
    </w:p>
    <w:p w14:paraId="C9000000">
      <w:pPr>
        <w:widowControl w:val="0"/>
        <w:tabs>
          <w:tab w:leader="none" w:pos="1070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Имя файла должно соответствовать фамилии ученика, его секции, школы. </w:t>
      </w:r>
    </w:p>
    <w:p w14:paraId="CA000000">
      <w:pPr>
        <w:widowControl w:val="0"/>
        <w:tabs>
          <w:tab w:leader="none" w:pos="1070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CB000000">
      <w:pPr>
        <w:widowControl w:val="0"/>
        <w:tabs>
          <w:tab w:leader="none" w:pos="1070" w:val="left"/>
        </w:tabs>
        <w:spacing w:after="0" w:line="240" w:lineRule="auto"/>
        <w:ind w:firstLine="709"/>
        <w:jc w:val="both"/>
        <w:rPr>
          <w:rFonts w:ascii="Times New Roman" w:hAnsi="Times New Roman"/>
          <w:b w:val="1"/>
          <w:spacing w:val="-7"/>
          <w:sz w:val="24"/>
        </w:rPr>
      </w:pPr>
    </w:p>
    <w:p w14:paraId="CC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 w:val="1"/>
          <w:sz w:val="24"/>
        </w:rPr>
      </w:pPr>
    </w:p>
    <w:p w14:paraId="CD00000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</w:rPr>
      </w:pPr>
    </w:p>
    <w:p w14:paraId="CE00000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</w:rPr>
      </w:pPr>
    </w:p>
    <w:p w14:paraId="CF00000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</w:rPr>
      </w:pPr>
    </w:p>
    <w:p w14:paraId="D000000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</w:t>
      </w:r>
    </w:p>
    <w:p w14:paraId="D1000000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 w:val="1"/>
          <w:sz w:val="24"/>
        </w:rPr>
      </w:pPr>
    </w:p>
    <w:p w14:paraId="D2000000">
      <w:pPr>
        <w:widowControl w:val="0"/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Структура исследовательской работы: </w:t>
      </w:r>
    </w:p>
    <w:p w14:paraId="D3000000">
      <w:pPr>
        <w:pStyle w:val="Style_4"/>
        <w:widowControl w:val="0"/>
        <w:spacing w:after="0" w:line="240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титульный лист; </w:t>
      </w:r>
    </w:p>
    <w:p w14:paraId="D4000000">
      <w:pPr>
        <w:pStyle w:val="Style_4"/>
        <w:widowControl w:val="0"/>
        <w:spacing w:after="0" w:line="240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оглавление; </w:t>
      </w:r>
    </w:p>
    <w:p w14:paraId="D5000000">
      <w:pPr>
        <w:pStyle w:val="Style_4"/>
        <w:widowControl w:val="0"/>
        <w:spacing w:after="0" w:line="240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введение: обоснование темы исследования и ее актуальность, цель исследования, объект исследования, предмет исследования, гипотеза исследования, задачи работы, методы исследования, новизна исследования, практическая значимость исследования; </w:t>
      </w:r>
    </w:p>
    <w:p w14:paraId="D6000000">
      <w:pPr>
        <w:pStyle w:val="Style_4"/>
        <w:widowControl w:val="0"/>
        <w:spacing w:after="0" w:line="240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теоретическая часть; </w:t>
      </w:r>
    </w:p>
    <w:p w14:paraId="D7000000">
      <w:pPr>
        <w:pStyle w:val="Style_4"/>
        <w:widowControl w:val="0"/>
        <w:spacing w:after="0" w:line="240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практическая часть; </w:t>
      </w:r>
    </w:p>
    <w:p w14:paraId="D8000000">
      <w:pPr>
        <w:pStyle w:val="Style_4"/>
        <w:widowControl w:val="0"/>
        <w:spacing w:after="0" w:line="240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заключение и вывод; </w:t>
      </w:r>
    </w:p>
    <w:p w14:paraId="D9000000">
      <w:pPr>
        <w:pStyle w:val="Style_4"/>
        <w:widowControl w:val="0"/>
        <w:spacing w:after="0" w:line="240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библиографический список использованных источников; </w:t>
      </w:r>
    </w:p>
    <w:p w14:paraId="DA000000">
      <w:pPr>
        <w:pStyle w:val="Style_4"/>
        <w:widowControl w:val="0"/>
        <w:spacing w:after="0" w:line="240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‒ приложения (если имеются). </w:t>
      </w:r>
    </w:p>
    <w:p w14:paraId="DB000000">
      <w:pPr>
        <w:pStyle w:val="Style_4"/>
        <w:widowControl w:val="0"/>
        <w:spacing w:after="0" w:line="240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</w:p>
    <w:p w14:paraId="DC000000">
      <w:pPr>
        <w:pStyle w:val="Style_4"/>
        <w:widowControl w:val="0"/>
        <w:spacing w:after="0" w:line="240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</w:p>
    <w:p w14:paraId="DD000000">
      <w:pPr>
        <w:pStyle w:val="Style_4"/>
        <w:widowControl w:val="0"/>
        <w:spacing w:after="0" w:line="240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</w:p>
    <w:p w14:paraId="DE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widowControl w:val="1"/>
        <w:ind w:hanging="360" w:left="78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50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22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94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38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10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82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540"/>
      </w:pPr>
      <w:rPr>
        <w:rFonts w:ascii="Wingdings" w:hAnsi="Wingdings"/>
      </w:rPr>
    </w:lvl>
  </w:abstractNum>
  <w:abstractNum w:abstractNumId="1">
    <w:lvl w:ilvl="0">
      <w:start w:val="1"/>
      <w:numFmt w:val="upperRoman"/>
      <w:lvlText w:val="%1."/>
      <w:lvlJc w:val="left"/>
      <w:pPr>
        <w:widowControl w:val="1"/>
        <w:ind w:hanging="720" w:left="1428"/>
      </w:pPr>
    </w:lvl>
    <w:lvl w:ilvl="1">
      <w:start w:val="1"/>
      <w:numFmt w:val="lowerLetter"/>
      <w:lvlText w:val="%2."/>
      <w:lvlJc w:val="left"/>
      <w:pPr>
        <w:widowControl w:val="1"/>
        <w:ind w:hanging="360" w:left="1788"/>
      </w:pPr>
    </w:lvl>
    <w:lvl w:ilvl="2">
      <w:start w:val="1"/>
      <w:numFmt w:val="lowerRoman"/>
      <w:lvlText w:val="%3."/>
      <w:lvlJc w:val="right"/>
      <w:pPr>
        <w:widowControl w:val="1"/>
        <w:ind w:hanging="180" w:left="2508"/>
      </w:pPr>
    </w:lvl>
    <w:lvl w:ilvl="3">
      <w:start w:val="1"/>
      <w:numFmt w:val="decimal"/>
      <w:lvlText w:val="%4."/>
      <w:lvlJc w:val="left"/>
      <w:pPr>
        <w:widowControl w:val="1"/>
        <w:ind w:hanging="360" w:left="3228"/>
      </w:pPr>
    </w:lvl>
    <w:lvl w:ilvl="4">
      <w:start w:val="1"/>
      <w:numFmt w:val="lowerLetter"/>
      <w:lvlText w:val="%5."/>
      <w:lvlJc w:val="left"/>
      <w:pPr>
        <w:widowControl w:val="1"/>
        <w:ind w:hanging="360" w:left="3948"/>
      </w:pPr>
    </w:lvl>
    <w:lvl w:ilvl="5">
      <w:start w:val="1"/>
      <w:numFmt w:val="lowerRoman"/>
      <w:lvlText w:val="%6."/>
      <w:lvlJc w:val="right"/>
      <w:pPr>
        <w:widowControl w:val="1"/>
        <w:ind w:hanging="180" w:left="4668"/>
      </w:pPr>
    </w:lvl>
    <w:lvl w:ilvl="6">
      <w:start w:val="1"/>
      <w:numFmt w:val="decimal"/>
      <w:lvlText w:val="%7."/>
      <w:lvlJc w:val="left"/>
      <w:pPr>
        <w:widowControl w:val="1"/>
        <w:ind w:hanging="360" w:left="5388"/>
      </w:pPr>
    </w:lvl>
    <w:lvl w:ilvl="7">
      <w:start w:val="1"/>
      <w:numFmt w:val="lowerLetter"/>
      <w:lvlText w:val="%8."/>
      <w:lvlJc w:val="left"/>
      <w:pPr>
        <w:widowControl w:val="1"/>
        <w:ind w:hanging="360" w:left="6108"/>
      </w:pPr>
    </w:lvl>
    <w:lvl w:ilvl="8">
      <w:start w:val="1"/>
      <w:numFmt w:val="lowerRoman"/>
      <w:lvlText w:val="%9."/>
      <w:lvlJc w:val="right"/>
      <w:pPr>
        <w:widowControl w:val="1"/>
        <w:ind w:hanging="180" w:left="6828"/>
      </w:pPr>
    </w:lvl>
  </w:abstractNum>
  <w:abstractNum w:abstractNumId="2">
    <w:lvl w:ilvl="0">
      <w:start w:val="4"/>
      <w:numFmt w:val="bullet"/>
      <w:lvlText w:val="–"/>
      <w:lvlJc w:val="left"/>
      <w:pPr>
        <w:widowControl w:val="1"/>
        <w:ind w:hanging="360" w:left="927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widowControl w:val="1"/>
        <w:ind w:hanging="360" w:left="1647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367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3087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807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527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247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967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687"/>
      </w:pPr>
      <w:rPr>
        <w:rFonts w:ascii="Wingdings" w:hAnsi="Wingdings"/>
      </w:rPr>
    </w:lvl>
  </w:abstractNum>
  <w:abstractNum w:abstractNumId="3">
    <w:lvl w:ilvl="0">
      <w:start w:val="10"/>
      <w:numFmt w:val="upperRoman"/>
      <w:lvlText w:val="%1."/>
      <w:lvlJc w:val="left"/>
      <w:pPr>
        <w:widowControl w:val="1"/>
        <w:ind w:hanging="720" w:left="720"/>
      </w:pPr>
      <w:rPr>
        <w:color w:val="000000"/>
      </w:rPr>
    </w:lvl>
    <w:lvl w:ilvl="1">
      <w:start w:val="1"/>
      <w:numFmt w:val="lowerLetter"/>
      <w:lvlText w:val="%2."/>
      <w:lvlJc w:val="left"/>
      <w:pPr>
        <w:widowControl w:val="1"/>
        <w:ind w:hanging="360" w:left="1080"/>
      </w:pPr>
    </w:lvl>
    <w:lvl w:ilvl="2">
      <w:start w:val="1"/>
      <w:numFmt w:val="lowerRoman"/>
      <w:lvlText w:val="%3."/>
      <w:lvlJc w:val="right"/>
      <w:pPr>
        <w:widowControl w:val="1"/>
        <w:ind w:hanging="180" w:left="1800"/>
      </w:pPr>
    </w:lvl>
    <w:lvl w:ilvl="3">
      <w:start w:val="1"/>
      <w:numFmt w:val="decimal"/>
      <w:lvlText w:val="%4."/>
      <w:lvlJc w:val="left"/>
      <w:pPr>
        <w:widowControl w:val="1"/>
        <w:ind w:hanging="360" w:left="2520"/>
      </w:pPr>
    </w:lvl>
    <w:lvl w:ilvl="4">
      <w:start w:val="1"/>
      <w:numFmt w:val="lowerLetter"/>
      <w:lvlText w:val="%5."/>
      <w:lvlJc w:val="left"/>
      <w:pPr>
        <w:widowControl w:val="1"/>
        <w:ind w:hanging="360" w:left="3240"/>
      </w:pPr>
    </w:lvl>
    <w:lvl w:ilvl="5">
      <w:start w:val="1"/>
      <w:numFmt w:val="lowerRoman"/>
      <w:lvlText w:val="%6."/>
      <w:lvlJc w:val="right"/>
      <w:pPr>
        <w:widowControl w:val="1"/>
        <w:ind w:hanging="180" w:left="3960"/>
      </w:pPr>
    </w:lvl>
    <w:lvl w:ilvl="6">
      <w:start w:val="1"/>
      <w:numFmt w:val="decimal"/>
      <w:lvlText w:val="%7."/>
      <w:lvlJc w:val="left"/>
      <w:pPr>
        <w:widowControl w:val="1"/>
        <w:ind w:hanging="360" w:left="4680"/>
      </w:pPr>
    </w:lvl>
    <w:lvl w:ilvl="7">
      <w:start w:val="1"/>
      <w:numFmt w:val="lowerLetter"/>
      <w:lvlText w:val="%8."/>
      <w:lvlJc w:val="left"/>
      <w:pPr>
        <w:widowControl w:val="1"/>
        <w:ind w:hanging="360" w:left="5400"/>
      </w:pPr>
    </w:lvl>
    <w:lvl w:ilvl="8">
      <w:start w:val="1"/>
      <w:numFmt w:val="lowerRoman"/>
      <w:lvlText w:val="%9."/>
      <w:lvlJc w:val="right"/>
      <w:pPr>
        <w:widowControl w:val="1"/>
        <w:ind w:hanging="180" w:left="6120"/>
      </w:pPr>
    </w:lvl>
  </w:abstractNum>
  <w:abstractNum w:abstractNumId="4">
    <w:lvl w:ilvl="0">
      <w:start w:val="1"/>
      <w:numFmt w:val="bullet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pPr>
      <w:widowControl w:val="1"/>
      <w:spacing w:after="200" w:line="276" w:lineRule="auto"/>
      <w:ind/>
    </w:pPr>
  </w:style>
  <w:style w:default="1" w:styleId="Style_7_ch" w:type="character">
    <w:name w:val="Normal"/>
    <w:link w:val="Style_7"/>
  </w:style>
  <w:style w:styleId="Style_8" w:type="paragraph">
    <w:name w:val="toc 2"/>
    <w:next w:val="Style_7"/>
    <w:link w:val="Style_8_ch"/>
    <w:uiPriority w:val="39"/>
    <w:pPr>
      <w:widowControl w:val="1"/>
      <w:ind w:left="200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3" w:type="paragraph">
    <w:name w:val="Гиперссылка1"/>
    <w:basedOn w:val="Style_7"/>
    <w:link w:val="Style_3_ch"/>
    <w:pPr>
      <w:widowControl w:val="1"/>
      <w:spacing w:after="160" w:line="264" w:lineRule="auto"/>
      <w:ind/>
    </w:pPr>
    <w:rPr>
      <w:color w:themeColor="hyperlink" w:val="0563C1"/>
      <w:u w:val="single"/>
    </w:rPr>
  </w:style>
  <w:style w:styleId="Style_3_ch" w:type="character">
    <w:name w:val="Гиперссылка1"/>
    <w:basedOn w:val="Style_7_ch"/>
    <w:link w:val="Style_3"/>
    <w:rPr>
      <w:color w:themeColor="hyperlink" w:val="0563C1"/>
      <w:u w:val="single"/>
    </w:rPr>
  </w:style>
  <w:style w:styleId="Style_9" w:type="paragraph">
    <w:name w:val="Гиперссылка2"/>
    <w:link w:val="Style_9_ch"/>
    <w:rPr>
      <w:color w:val="0000FF"/>
      <w:u w:val="single"/>
    </w:rPr>
  </w:style>
  <w:style w:styleId="Style_9_ch" w:type="character">
    <w:name w:val="Гиперссылка2"/>
    <w:link w:val="Style_9"/>
    <w:rPr>
      <w:color w:val="0000FF"/>
      <w:u w:val="single"/>
    </w:rPr>
  </w:style>
  <w:style w:styleId="Style_10" w:type="paragraph">
    <w:name w:val="toc 4"/>
    <w:next w:val="Style_7"/>
    <w:link w:val="Style_10_ch"/>
    <w:uiPriority w:val="39"/>
    <w:pPr>
      <w:widowControl w:val="1"/>
      <w:ind w:left="600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7"/>
    <w:link w:val="Style_11_ch"/>
    <w:uiPriority w:val="39"/>
    <w:pPr>
      <w:widowControl w:val="1"/>
      <w:ind w:left="1000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7"/>
    <w:link w:val="Style_12_ch"/>
    <w:uiPriority w:val="39"/>
    <w:pPr>
      <w:widowControl w:val="1"/>
      <w:ind w:left="1200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Endnote"/>
    <w:link w:val="Style_13_ch"/>
    <w:pPr>
      <w:widowControl w:val="1"/>
      <w:ind w:firstLine="851"/>
      <w:jc w:val="both"/>
    </w:pPr>
    <w:rPr>
      <w:rFonts w:ascii="XO Thames" w:hAnsi="XO Thames"/>
    </w:rPr>
  </w:style>
  <w:style w:styleId="Style_13_ch" w:type="character">
    <w:name w:val="Endnote"/>
    <w:link w:val="Style_13"/>
    <w:rPr>
      <w:rFonts w:ascii="XO Thames" w:hAnsi="XO Thames"/>
    </w:rPr>
  </w:style>
  <w:style w:styleId="Style_14" w:type="paragraph">
    <w:name w:val="heading 3"/>
    <w:next w:val="Style_7"/>
    <w:link w:val="Style_14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Balloon Text"/>
    <w:basedOn w:val="Style_7"/>
    <w:link w:val="Style_15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5_ch" w:type="character">
    <w:name w:val="Balloon Text"/>
    <w:basedOn w:val="Style_7_ch"/>
    <w:link w:val="Style_15"/>
    <w:rPr>
      <w:rFonts w:ascii="Tahoma" w:hAnsi="Tahoma"/>
      <w:sz w:val="16"/>
    </w:rPr>
  </w:style>
  <w:style w:styleId="Style_16" w:type="paragraph">
    <w:name w:val="toc 3"/>
    <w:next w:val="Style_7"/>
    <w:link w:val="Style_16_ch"/>
    <w:uiPriority w:val="39"/>
    <w:pPr>
      <w:widowControl w:val="1"/>
      <w:ind w:left="400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ing 5"/>
    <w:next w:val="Style_7"/>
    <w:link w:val="Style_17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7_ch" w:type="character">
    <w:name w:val="heading 5"/>
    <w:link w:val="Style_17"/>
    <w:rPr>
      <w:rFonts w:ascii="XO Thames" w:hAnsi="XO Thames"/>
      <w:b w:val="1"/>
    </w:rPr>
  </w:style>
  <w:style w:styleId="Style_18" w:type="paragraph">
    <w:name w:val="heading 1"/>
    <w:next w:val="Style_7"/>
    <w:link w:val="Style_18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widowControl w:val="1"/>
      <w:ind w:firstLine="851"/>
      <w:jc w:val="both"/>
    </w:pPr>
    <w:rPr>
      <w:rFonts w:ascii="XO Thames" w:hAnsi="XO Thames"/>
    </w:rPr>
  </w:style>
  <w:style w:styleId="Style_20_ch" w:type="character">
    <w:name w:val="Footnote"/>
    <w:link w:val="Style_20"/>
    <w:rPr>
      <w:rFonts w:ascii="XO Thames" w:hAnsi="XO Thames"/>
    </w:rPr>
  </w:style>
  <w:style w:styleId="Style_21" w:type="paragraph">
    <w:name w:val="toc 1"/>
    <w:next w:val="Style_7"/>
    <w:link w:val="Style_21_ch"/>
    <w:uiPriority w:val="39"/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4" w:type="paragraph">
    <w:name w:val="List Paragraph"/>
    <w:basedOn w:val="Style_7"/>
    <w:link w:val="Style_4_ch"/>
    <w:pPr>
      <w:widowControl w:val="1"/>
      <w:ind w:left="720"/>
      <w:contextualSpacing w:val="1"/>
    </w:pPr>
  </w:style>
  <w:style w:styleId="Style_4_ch" w:type="character">
    <w:name w:val="List Paragraph"/>
    <w:basedOn w:val="Style_7_ch"/>
    <w:link w:val="Style_4"/>
  </w:style>
  <w:style w:styleId="Style_23" w:type="paragraph">
    <w:name w:val="toc 9"/>
    <w:next w:val="Style_7"/>
    <w:link w:val="Style_23_ch"/>
    <w:uiPriority w:val="39"/>
    <w:pPr>
      <w:widowControl w:val="1"/>
      <w:ind w:left="1600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Обычный1"/>
    <w:link w:val="Style_24_ch"/>
    <w:rPr>
      <w:color w:val="000000"/>
    </w:rPr>
  </w:style>
  <w:style w:styleId="Style_24_ch" w:type="character">
    <w:name w:val="Обычный1"/>
    <w:link w:val="Style_24"/>
    <w:rPr>
      <w:color w:val="000000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styleId="Style_26" w:type="paragraph">
    <w:name w:val="toc 8"/>
    <w:next w:val="Style_7"/>
    <w:link w:val="Style_26_ch"/>
    <w:uiPriority w:val="39"/>
    <w:pPr>
      <w:widowControl w:val="1"/>
      <w:ind w:left="1400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5" w:type="paragraph">
    <w:name w:val="No Spacing"/>
    <w:link w:val="Style_5_ch"/>
    <w:pPr>
      <w:widowControl w:val="1"/>
      <w:spacing w:after="0" w:line="240" w:lineRule="auto"/>
      <w:ind/>
    </w:pPr>
  </w:style>
  <w:style w:styleId="Style_5_ch" w:type="character">
    <w:name w:val="No Spacing"/>
    <w:link w:val="Style_5"/>
  </w:style>
  <w:style w:styleId="Style_27" w:type="paragraph">
    <w:name w:val="toc 5"/>
    <w:next w:val="Style_7"/>
    <w:link w:val="Style_27_ch"/>
    <w:uiPriority w:val="39"/>
    <w:pPr>
      <w:widowControl w:val="1"/>
      <w:ind w:left="800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next w:val="Style_7"/>
    <w:link w:val="Style_2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7"/>
    <w:link w:val="Style_2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1" w:type="paragraph">
    <w:name w:val="heading 4"/>
    <w:basedOn w:val="Style_7"/>
    <w:next w:val="Style_7"/>
    <w:link w:val="Style_1_ch"/>
    <w:uiPriority w:val="9"/>
    <w:qFormat/>
    <w:pPr>
      <w:keepNext w:val="1"/>
      <w:widowControl w:val="1"/>
      <w:spacing w:after="0" w:line="240" w:lineRule="auto"/>
      <w:ind w:left="200"/>
      <w:jc w:val="both"/>
      <w:outlineLvl w:val="3"/>
    </w:pPr>
    <w:rPr>
      <w:rFonts w:ascii="Times New Roman" w:hAnsi="Times New Roman"/>
      <w:b w:val="1"/>
      <w:sz w:val="16"/>
    </w:rPr>
  </w:style>
  <w:style w:styleId="Style_1_ch" w:type="character">
    <w:name w:val="heading 4"/>
    <w:basedOn w:val="Style_7_ch"/>
    <w:link w:val="Style_1"/>
    <w:rPr>
      <w:rFonts w:ascii="Times New Roman" w:hAnsi="Times New Roman"/>
      <w:b w:val="1"/>
      <w:sz w:val="16"/>
    </w:rPr>
  </w:style>
  <w:style w:styleId="Style_2" w:type="paragraph">
    <w:name w:val="heading 2"/>
    <w:basedOn w:val="Style_7"/>
    <w:next w:val="Style_7"/>
    <w:link w:val="Style_2_ch"/>
    <w:uiPriority w:val="9"/>
    <w:qFormat/>
    <w:pPr>
      <w:keepNext w:val="1"/>
      <w:widowControl w:val="0"/>
      <w:spacing w:after="0" w:line="300" w:lineRule="auto"/>
      <w:ind w:firstLine="680"/>
      <w:jc w:val="both"/>
      <w:outlineLvl w:val="1"/>
    </w:pPr>
    <w:rPr>
      <w:rFonts w:ascii="Times New Roman" w:hAnsi="Times New Roman"/>
      <w:b w:val="1"/>
      <w:sz w:val="40"/>
    </w:rPr>
  </w:style>
  <w:style w:styleId="Style_2_ch" w:type="character">
    <w:name w:val="heading 2"/>
    <w:basedOn w:val="Style_7_ch"/>
    <w:link w:val="Style_2"/>
    <w:rPr>
      <w:rFonts w:ascii="Times New Roman" w:hAnsi="Times New Roman"/>
      <w:b w:val="1"/>
      <w:sz w:val="40"/>
    </w:rPr>
  </w:style>
  <w:style w:styleId="Style_30" w:type="paragraph">
    <w:name w:val="Основной шрифт абзаца1"/>
    <w:link w:val="Style_30_ch"/>
  </w:style>
  <w:style w:styleId="Style_30_ch" w:type="character">
    <w:name w:val="Основной шрифт абзаца1"/>
    <w:link w:val="Style_30"/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" w:type="table">
    <w:name w:val="Сетка таблицы1"/>
    <w:basedOn w:val="Style_31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MyOffice-CoreFramework-Android/38-1384.1107.10145.1019.1@c2410d8ee4f0a04d0891967678df67bf0b929a69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2025-10-30T07:00:00Z</dcterms:created>
  <dcterms:modified xsi:type="dcterms:W3CDTF">2025-10-30T14:07:00Z</dcterms:modified>
</cp:coreProperties>
</file>